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A5344" w14:textId="54F85404" w:rsidR="00A46DA7" w:rsidRPr="00A46DA7" w:rsidRDefault="00A46DA7" w:rsidP="00A46DA7">
      <w:pPr>
        <w:snapToGrid w:val="0"/>
        <w:jc w:val="center"/>
        <w:rPr>
          <w:rStyle w:val="title21"/>
          <w:rFonts w:ascii="Times New Roman" w:eastAsia="黑体" w:hAnsi="Times New Roman" w:cs="Times New Roman"/>
          <w:bCs/>
          <w:color w:val="auto"/>
          <w:kern w:val="44"/>
          <w:sz w:val="36"/>
          <w:szCs w:val="36"/>
        </w:rPr>
      </w:pPr>
      <w:r w:rsidRPr="00A46DA7">
        <w:rPr>
          <w:rStyle w:val="title21"/>
          <w:rFonts w:ascii="Times New Roman" w:eastAsia="黑体" w:hAnsi="Times New Roman" w:cs="Times New Roman" w:hint="eastAsia"/>
          <w:bCs/>
          <w:color w:val="auto"/>
          <w:kern w:val="44"/>
          <w:sz w:val="36"/>
          <w:szCs w:val="36"/>
        </w:rPr>
        <w:t>《中国科学院大学学位授予工作细则》</w:t>
      </w:r>
      <w:r w:rsidR="00812804">
        <w:rPr>
          <w:rStyle w:val="title21"/>
          <w:rFonts w:ascii="Times New Roman" w:eastAsia="黑体" w:hAnsi="Times New Roman" w:cs="Times New Roman" w:hint="eastAsia"/>
          <w:bCs/>
          <w:color w:val="auto"/>
          <w:kern w:val="44"/>
          <w:sz w:val="36"/>
          <w:szCs w:val="36"/>
        </w:rPr>
        <w:t>修订</w:t>
      </w:r>
      <w:r w:rsidR="00812804">
        <w:rPr>
          <w:rStyle w:val="title21"/>
          <w:rFonts w:ascii="Times New Roman" w:eastAsia="黑体" w:hAnsi="Times New Roman" w:cs="Times New Roman"/>
          <w:bCs/>
          <w:color w:val="auto"/>
          <w:kern w:val="44"/>
          <w:sz w:val="36"/>
          <w:szCs w:val="36"/>
        </w:rPr>
        <w:t>说明</w:t>
      </w:r>
    </w:p>
    <w:p w14:paraId="2B17867E" w14:textId="20593A38" w:rsidR="00A46DA7" w:rsidRDefault="00A46DA7" w:rsidP="00A46DA7">
      <w:pPr>
        <w:adjustRightInd w:val="0"/>
        <w:snapToGrid w:val="0"/>
        <w:spacing w:line="520" w:lineRule="exact"/>
        <w:rPr>
          <w:rFonts w:ascii="黑体" w:eastAsia="黑体" w:hAnsi="黑体"/>
          <w:b/>
          <w:sz w:val="28"/>
          <w:szCs w:val="32"/>
        </w:rPr>
      </w:pPr>
    </w:p>
    <w:p w14:paraId="1A1B2853" w14:textId="5290C47A" w:rsidR="00812804" w:rsidRPr="00812804" w:rsidRDefault="00812804" w:rsidP="00A46DA7">
      <w:pPr>
        <w:adjustRightInd w:val="0"/>
        <w:snapToGrid w:val="0"/>
        <w:spacing w:line="520" w:lineRule="exact"/>
        <w:rPr>
          <w:rFonts w:ascii="黑体" w:eastAsia="黑体" w:hAnsi="黑体"/>
          <w:b/>
          <w:sz w:val="32"/>
          <w:szCs w:val="32"/>
        </w:rPr>
      </w:pPr>
      <w:r w:rsidRPr="00812804">
        <w:rPr>
          <w:rStyle w:val="title21"/>
          <w:rFonts w:ascii="Times New Roman" w:eastAsia="黑体" w:hAnsi="Times New Roman" w:cs="Times New Roman" w:hint="eastAsia"/>
          <w:bCs/>
          <w:color w:val="auto"/>
          <w:kern w:val="44"/>
          <w:sz w:val="32"/>
          <w:szCs w:val="32"/>
        </w:rPr>
        <w:t>一</w:t>
      </w:r>
      <w:r w:rsidRPr="00812804">
        <w:rPr>
          <w:rStyle w:val="title21"/>
          <w:rFonts w:ascii="Times New Roman" w:eastAsia="黑体" w:hAnsi="Times New Roman" w:cs="Times New Roman"/>
          <w:bCs/>
          <w:color w:val="auto"/>
          <w:kern w:val="44"/>
          <w:sz w:val="32"/>
          <w:szCs w:val="32"/>
        </w:rPr>
        <w:t>、</w:t>
      </w:r>
      <w:r w:rsidRPr="00812804">
        <w:rPr>
          <w:rStyle w:val="title21"/>
          <w:rFonts w:ascii="Times New Roman" w:eastAsia="黑体" w:hAnsi="Times New Roman" w:cs="Times New Roman" w:hint="eastAsia"/>
          <w:bCs/>
          <w:color w:val="auto"/>
          <w:kern w:val="44"/>
          <w:sz w:val="32"/>
          <w:szCs w:val="32"/>
        </w:rPr>
        <w:t>修订</w:t>
      </w:r>
      <w:r w:rsidR="00566EE9">
        <w:rPr>
          <w:rStyle w:val="title21"/>
          <w:rFonts w:ascii="Times New Roman" w:eastAsia="黑体" w:hAnsi="Times New Roman" w:cs="Times New Roman" w:hint="eastAsia"/>
          <w:bCs/>
          <w:color w:val="auto"/>
          <w:kern w:val="44"/>
          <w:sz w:val="32"/>
          <w:szCs w:val="32"/>
        </w:rPr>
        <w:t>的</w:t>
      </w:r>
      <w:r w:rsidR="00566EE9">
        <w:rPr>
          <w:rStyle w:val="title21"/>
          <w:rFonts w:ascii="Times New Roman" w:eastAsia="黑体" w:hAnsi="Times New Roman" w:cs="Times New Roman"/>
          <w:bCs/>
          <w:color w:val="auto"/>
          <w:kern w:val="44"/>
          <w:sz w:val="32"/>
          <w:szCs w:val="32"/>
        </w:rPr>
        <w:t>主要变化</w:t>
      </w:r>
      <w:r w:rsidRPr="00812804">
        <w:rPr>
          <w:rStyle w:val="title21"/>
          <w:rFonts w:ascii="Times New Roman" w:eastAsia="黑体" w:hAnsi="Times New Roman" w:cs="Times New Roman" w:hint="eastAsia"/>
          <w:bCs/>
          <w:color w:val="auto"/>
          <w:kern w:val="44"/>
          <w:sz w:val="32"/>
          <w:szCs w:val="32"/>
        </w:rPr>
        <w:t>说明</w:t>
      </w:r>
      <w:r>
        <w:rPr>
          <w:rStyle w:val="title21"/>
          <w:rFonts w:ascii="Times New Roman" w:eastAsia="黑体" w:hAnsi="Times New Roman" w:cs="Times New Roman" w:hint="eastAsia"/>
          <w:bCs/>
          <w:color w:val="auto"/>
          <w:kern w:val="44"/>
          <w:sz w:val="32"/>
          <w:szCs w:val="32"/>
        </w:rPr>
        <w:t>：</w:t>
      </w:r>
    </w:p>
    <w:p w14:paraId="6AFD963C" w14:textId="500C192B" w:rsidR="0099384D" w:rsidRPr="003A1B08" w:rsidRDefault="00BD1A4E" w:rsidP="00F0757B">
      <w:pPr>
        <w:pStyle w:val="a3"/>
        <w:numPr>
          <w:ilvl w:val="0"/>
          <w:numId w:val="1"/>
        </w:numPr>
        <w:adjustRightInd w:val="0"/>
        <w:snapToGrid w:val="0"/>
        <w:spacing w:line="520" w:lineRule="exact"/>
        <w:ind w:left="0" w:firstLineChars="0" w:firstLine="640"/>
        <w:rPr>
          <w:rFonts w:ascii="仿宋_GB2312" w:eastAsia="仿宋_GB2312" w:hAnsi="仿宋"/>
          <w:bCs/>
          <w:sz w:val="30"/>
          <w:szCs w:val="30"/>
        </w:rPr>
      </w:pPr>
      <w:r w:rsidRPr="003A1B08">
        <w:rPr>
          <w:rFonts w:ascii="仿宋_GB2312" w:eastAsia="仿宋_GB2312" w:hint="eastAsia"/>
          <w:b/>
          <w:bCs/>
          <w:color w:val="FF0000"/>
          <w:sz w:val="30"/>
          <w:szCs w:val="30"/>
          <w:u w:val="thick"/>
        </w:rPr>
        <w:t>修订后的工作细则自2022年10月1日起施行。</w:t>
      </w:r>
      <w:r w:rsidR="0099384D" w:rsidRPr="003A1B08">
        <w:rPr>
          <w:rFonts w:ascii="仿宋_GB2312" w:eastAsia="仿宋_GB2312" w:hAnsi="仿宋" w:hint="eastAsia"/>
          <w:bCs/>
          <w:sz w:val="30"/>
          <w:szCs w:val="30"/>
        </w:rPr>
        <w:t>详情见文件第三十九条。</w:t>
      </w:r>
    </w:p>
    <w:p w14:paraId="2C6FBA0C" w14:textId="7B2E67CD" w:rsidR="00BD1A4E" w:rsidRPr="003A1B08" w:rsidRDefault="00BD1A4E" w:rsidP="00BD1A4E">
      <w:pPr>
        <w:pStyle w:val="a3"/>
        <w:numPr>
          <w:ilvl w:val="0"/>
          <w:numId w:val="1"/>
        </w:numPr>
        <w:adjustRightInd w:val="0"/>
        <w:snapToGrid w:val="0"/>
        <w:spacing w:line="520" w:lineRule="exact"/>
        <w:ind w:left="0" w:firstLineChars="0" w:firstLine="640"/>
        <w:rPr>
          <w:rFonts w:ascii="仿宋_GB2312" w:eastAsia="仿宋_GB2312" w:hAnsi="仿宋"/>
          <w:bCs/>
          <w:sz w:val="30"/>
          <w:szCs w:val="30"/>
        </w:rPr>
      </w:pPr>
      <w:r w:rsidRPr="003A1B08">
        <w:rPr>
          <w:rFonts w:ascii="仿宋_GB2312" w:eastAsia="仿宋_GB2312" w:hint="eastAsia"/>
          <w:b/>
          <w:bCs/>
          <w:color w:val="FF0000"/>
          <w:sz w:val="30"/>
          <w:szCs w:val="30"/>
          <w:u w:val="thick"/>
        </w:rPr>
        <w:t>本细则施行后组织的答辩，答辩人的导师不可作为答辩委员会成员。</w:t>
      </w:r>
      <w:r w:rsidR="0099384D" w:rsidRPr="003A1B08">
        <w:rPr>
          <w:rFonts w:ascii="仿宋_GB2312" w:eastAsia="仿宋_GB2312" w:hAnsi="仿宋" w:hint="eastAsia"/>
          <w:bCs/>
          <w:sz w:val="30"/>
          <w:szCs w:val="30"/>
        </w:rPr>
        <w:t>见</w:t>
      </w:r>
      <w:r w:rsidR="003B6ED1" w:rsidRPr="003A1B08">
        <w:rPr>
          <w:rFonts w:ascii="仿宋_GB2312" w:eastAsia="仿宋_GB2312" w:hAnsi="仿宋" w:hint="eastAsia"/>
          <w:bCs/>
          <w:sz w:val="30"/>
          <w:szCs w:val="30"/>
        </w:rPr>
        <w:t>文件第</w:t>
      </w:r>
      <w:r w:rsidR="0099384D" w:rsidRPr="003A1B08">
        <w:rPr>
          <w:rFonts w:ascii="仿宋_GB2312" w:eastAsia="仿宋_GB2312" w:hAnsi="仿宋" w:hint="eastAsia"/>
          <w:bCs/>
          <w:sz w:val="30"/>
          <w:szCs w:val="30"/>
        </w:rPr>
        <w:t>十五条和第二十条。</w:t>
      </w:r>
    </w:p>
    <w:p w14:paraId="2FBC7817" w14:textId="24D4EE1F" w:rsidR="0013587F" w:rsidRPr="003A1B08" w:rsidRDefault="00BD1A4E" w:rsidP="005A22B1">
      <w:pPr>
        <w:pStyle w:val="a3"/>
        <w:numPr>
          <w:ilvl w:val="0"/>
          <w:numId w:val="1"/>
        </w:numPr>
        <w:adjustRightInd w:val="0"/>
        <w:snapToGrid w:val="0"/>
        <w:spacing w:line="520" w:lineRule="exact"/>
        <w:ind w:left="0" w:firstLineChars="0" w:firstLine="640"/>
        <w:rPr>
          <w:rFonts w:ascii="仿宋_GB2312" w:eastAsia="仿宋_GB2312" w:hAnsi="仿宋"/>
          <w:bCs/>
          <w:sz w:val="30"/>
          <w:szCs w:val="30"/>
        </w:rPr>
      </w:pPr>
      <w:r w:rsidRPr="003A1B08">
        <w:rPr>
          <w:rFonts w:ascii="仿宋_GB2312" w:eastAsia="仿宋_GB2312" w:hint="eastAsia"/>
          <w:b/>
          <w:bCs/>
          <w:color w:val="FF0000"/>
          <w:sz w:val="30"/>
          <w:szCs w:val="30"/>
          <w:u w:val="thick"/>
        </w:rPr>
        <w:t>硕士、博士学位的学位论文原则上实行盲审，可采取盲审与常规评阅等其他评阅方式相结合的方式</w:t>
      </w:r>
      <w:r w:rsidR="0013587F" w:rsidRPr="003A1B08">
        <w:rPr>
          <w:rFonts w:ascii="仿宋_GB2312" w:eastAsia="仿宋_GB2312" w:hint="eastAsia"/>
          <w:b/>
          <w:bCs/>
          <w:color w:val="FF0000"/>
          <w:sz w:val="30"/>
          <w:szCs w:val="30"/>
          <w:u w:val="thick"/>
        </w:rPr>
        <w:t>。</w:t>
      </w:r>
      <w:r w:rsidR="0013587F" w:rsidRPr="003A1B08">
        <w:rPr>
          <w:rFonts w:ascii="仿宋_GB2312" w:eastAsia="仿宋_GB2312" w:hAnsi="仿宋" w:hint="eastAsia"/>
          <w:bCs/>
          <w:sz w:val="30"/>
          <w:szCs w:val="30"/>
        </w:rPr>
        <w:t>见文件第十四条和第十九条。</w:t>
      </w:r>
    </w:p>
    <w:p w14:paraId="2F9CD375" w14:textId="1E7A8893" w:rsidR="00BD1A4E" w:rsidRPr="003A1B08" w:rsidRDefault="00BD1A4E" w:rsidP="005A22B1">
      <w:pPr>
        <w:pStyle w:val="a3"/>
        <w:numPr>
          <w:ilvl w:val="0"/>
          <w:numId w:val="1"/>
        </w:numPr>
        <w:adjustRightInd w:val="0"/>
        <w:snapToGrid w:val="0"/>
        <w:spacing w:line="520" w:lineRule="exact"/>
        <w:ind w:left="0" w:firstLineChars="0" w:firstLine="640"/>
        <w:rPr>
          <w:rFonts w:ascii="仿宋_GB2312" w:eastAsia="仿宋_GB2312" w:hAnsi="仿宋"/>
          <w:bCs/>
          <w:sz w:val="30"/>
          <w:szCs w:val="30"/>
        </w:rPr>
      </w:pPr>
      <w:r w:rsidRPr="003A1B08">
        <w:rPr>
          <w:rFonts w:ascii="仿宋_GB2312" w:eastAsia="仿宋_GB2312" w:hAnsi="仿宋" w:hint="eastAsia"/>
          <w:bCs/>
          <w:sz w:val="30"/>
          <w:szCs w:val="30"/>
        </w:rPr>
        <w:t>取消了</w:t>
      </w:r>
      <w:r w:rsidR="0013587F" w:rsidRPr="003A1B08">
        <w:rPr>
          <w:rFonts w:ascii="仿宋_GB2312" w:eastAsia="仿宋_GB2312" w:hAnsi="仿宋" w:hint="eastAsia"/>
          <w:bCs/>
          <w:sz w:val="30"/>
          <w:szCs w:val="30"/>
        </w:rPr>
        <w:t>论文</w:t>
      </w:r>
      <w:r w:rsidRPr="003A1B08">
        <w:rPr>
          <w:rFonts w:ascii="仿宋_GB2312" w:eastAsia="仿宋_GB2312" w:hAnsi="仿宋" w:hint="eastAsia"/>
          <w:bCs/>
          <w:sz w:val="30"/>
          <w:szCs w:val="30"/>
        </w:rPr>
        <w:t>评阅人和答辩委员人数的上限要求</w:t>
      </w:r>
      <w:r w:rsidR="003B6ED1" w:rsidRPr="003A1B08">
        <w:rPr>
          <w:rFonts w:ascii="仿宋_GB2312" w:eastAsia="仿宋_GB2312" w:hAnsi="仿宋" w:hint="eastAsia"/>
          <w:bCs/>
          <w:sz w:val="30"/>
          <w:szCs w:val="30"/>
        </w:rPr>
        <w:t>。</w:t>
      </w:r>
      <w:r w:rsidR="00B523A9" w:rsidRPr="003A1B08">
        <w:rPr>
          <w:rFonts w:ascii="仿宋_GB2312" w:eastAsia="仿宋_GB2312" w:hint="eastAsia"/>
          <w:b/>
          <w:bCs/>
          <w:color w:val="FF0000"/>
          <w:sz w:val="30"/>
          <w:szCs w:val="30"/>
          <w:u w:val="thick"/>
        </w:rPr>
        <w:t>学位论文评阅人的组成</w:t>
      </w:r>
      <w:r w:rsidR="00B523A9" w:rsidRPr="003A1B08">
        <w:rPr>
          <w:rFonts w:ascii="仿宋_GB2312" w:eastAsia="仿宋_GB2312" w:hAnsi="仿宋" w:hint="eastAsia"/>
          <w:bCs/>
          <w:sz w:val="30"/>
          <w:szCs w:val="30"/>
        </w:rPr>
        <w:t>由培养单位学位评定委员会批准；专家资格增加了</w:t>
      </w:r>
      <w:r w:rsidR="00A669C2" w:rsidRPr="003A1B08">
        <w:rPr>
          <w:rFonts w:ascii="仿宋_GB2312" w:eastAsia="仿宋_GB2312" w:hAnsi="仿宋" w:hint="eastAsia"/>
          <w:bCs/>
          <w:sz w:val="30"/>
          <w:szCs w:val="30"/>
        </w:rPr>
        <w:t>或</w:t>
      </w:r>
      <w:r w:rsidR="00B523A9" w:rsidRPr="003A1B08">
        <w:rPr>
          <w:rFonts w:ascii="仿宋_GB2312" w:eastAsia="仿宋_GB2312" w:hAnsi="仿宋" w:hint="eastAsia"/>
          <w:bCs/>
          <w:sz w:val="30"/>
          <w:szCs w:val="30"/>
        </w:rPr>
        <w:t>具有相应</w:t>
      </w:r>
      <w:r w:rsidR="0013587F" w:rsidRPr="003A1B08">
        <w:rPr>
          <w:rFonts w:ascii="仿宋_GB2312" w:eastAsia="仿宋_GB2312" w:hAnsi="仿宋" w:hint="eastAsia"/>
          <w:bCs/>
          <w:sz w:val="30"/>
          <w:szCs w:val="30"/>
        </w:rPr>
        <w:t>层次（硕士生、博士生）</w:t>
      </w:r>
      <w:r w:rsidR="00B523A9" w:rsidRPr="003A1B08">
        <w:rPr>
          <w:rFonts w:ascii="仿宋_GB2312" w:eastAsia="仿宋_GB2312" w:hAnsi="仿宋" w:hint="eastAsia"/>
          <w:bCs/>
          <w:sz w:val="30"/>
          <w:szCs w:val="30"/>
        </w:rPr>
        <w:t>指导教师资格（不限专业技术职务）；专业学位的论文评阅人和答辩委员应</w:t>
      </w:r>
      <w:r w:rsidR="00A802A2" w:rsidRPr="003A1B08">
        <w:rPr>
          <w:rFonts w:ascii="仿宋_GB2312" w:eastAsia="仿宋_GB2312" w:hAnsi="仿宋" w:hint="eastAsia"/>
          <w:bCs/>
          <w:sz w:val="30"/>
          <w:szCs w:val="30"/>
        </w:rPr>
        <w:t>包含</w:t>
      </w:r>
      <w:r w:rsidR="00B523A9" w:rsidRPr="003A1B08">
        <w:rPr>
          <w:rFonts w:ascii="仿宋_GB2312" w:eastAsia="仿宋_GB2312" w:hAnsi="仿宋" w:hint="eastAsia"/>
          <w:bCs/>
          <w:sz w:val="30"/>
          <w:szCs w:val="30"/>
        </w:rPr>
        <w:t>来自行业、企业的专家；评阅中的“持否定意见”明确为“不同意答辩”</w:t>
      </w:r>
      <w:r w:rsidR="00A802A2" w:rsidRPr="003A1B08">
        <w:rPr>
          <w:rFonts w:ascii="仿宋_GB2312" w:eastAsia="仿宋_GB2312" w:hAnsi="仿宋" w:hint="eastAsia"/>
          <w:bCs/>
          <w:sz w:val="30"/>
          <w:szCs w:val="30"/>
        </w:rPr>
        <w:t>。</w:t>
      </w:r>
      <w:r w:rsidR="0099384D" w:rsidRPr="003A1B08">
        <w:rPr>
          <w:rFonts w:ascii="仿宋_GB2312" w:eastAsia="仿宋_GB2312" w:hAnsi="仿宋" w:hint="eastAsia"/>
          <w:bCs/>
          <w:sz w:val="30"/>
          <w:szCs w:val="30"/>
        </w:rPr>
        <w:t>见文件第十四条</w:t>
      </w:r>
      <w:r w:rsidR="00A802A2" w:rsidRPr="003A1B08">
        <w:rPr>
          <w:rFonts w:ascii="仿宋_GB2312" w:eastAsia="仿宋_GB2312" w:hAnsi="仿宋" w:hint="eastAsia"/>
          <w:bCs/>
          <w:sz w:val="30"/>
          <w:szCs w:val="30"/>
        </w:rPr>
        <w:t>、第十五条、第十九条</w:t>
      </w:r>
      <w:r w:rsidR="0099384D" w:rsidRPr="003A1B08">
        <w:rPr>
          <w:rFonts w:ascii="仿宋_GB2312" w:eastAsia="仿宋_GB2312" w:hAnsi="仿宋" w:hint="eastAsia"/>
          <w:bCs/>
          <w:sz w:val="30"/>
          <w:szCs w:val="30"/>
        </w:rPr>
        <w:t>和第</w:t>
      </w:r>
      <w:r w:rsidR="00A802A2" w:rsidRPr="003A1B08">
        <w:rPr>
          <w:rFonts w:ascii="仿宋_GB2312" w:eastAsia="仿宋_GB2312" w:hAnsi="仿宋" w:hint="eastAsia"/>
          <w:bCs/>
          <w:sz w:val="30"/>
          <w:szCs w:val="30"/>
        </w:rPr>
        <w:t>二十</w:t>
      </w:r>
      <w:r w:rsidR="0099384D" w:rsidRPr="003A1B08">
        <w:rPr>
          <w:rFonts w:ascii="仿宋_GB2312" w:eastAsia="仿宋_GB2312" w:hAnsi="仿宋" w:hint="eastAsia"/>
          <w:bCs/>
          <w:sz w:val="30"/>
          <w:szCs w:val="30"/>
        </w:rPr>
        <w:t>条。</w:t>
      </w:r>
    </w:p>
    <w:p w14:paraId="77F72415" w14:textId="481D2231" w:rsidR="003B6ED1" w:rsidRPr="003A1B08" w:rsidRDefault="003B6ED1" w:rsidP="003B6ED1">
      <w:pPr>
        <w:pStyle w:val="a3"/>
        <w:numPr>
          <w:ilvl w:val="0"/>
          <w:numId w:val="1"/>
        </w:numPr>
        <w:adjustRightInd w:val="0"/>
        <w:snapToGrid w:val="0"/>
        <w:spacing w:line="520" w:lineRule="exact"/>
        <w:ind w:left="0" w:firstLineChars="0" w:firstLine="640"/>
        <w:rPr>
          <w:rFonts w:ascii="仿宋_GB2312" w:eastAsia="仿宋_GB2312" w:hAnsi="仿宋"/>
          <w:bCs/>
          <w:sz w:val="30"/>
          <w:szCs w:val="30"/>
        </w:rPr>
      </w:pPr>
      <w:r w:rsidRPr="003A1B08">
        <w:rPr>
          <w:rFonts w:ascii="仿宋_GB2312" w:eastAsia="仿宋_GB2312" w:hAnsi="仿宋" w:hint="eastAsia"/>
          <w:bCs/>
          <w:sz w:val="30"/>
          <w:szCs w:val="30"/>
        </w:rPr>
        <w:t>将关于学生科研成果署名的有关规定纳入到文件中，</w:t>
      </w:r>
      <w:r w:rsidRPr="003A1B08">
        <w:rPr>
          <w:rFonts w:ascii="仿宋_GB2312" w:eastAsia="仿宋_GB2312" w:hAnsi="仿宋" w:hint="eastAsia"/>
          <w:b/>
          <w:bCs/>
          <w:color w:val="FF0000"/>
          <w:sz w:val="30"/>
          <w:szCs w:val="30"/>
          <w:u w:val="thick"/>
        </w:rPr>
        <w:t>专利、奖项及2017年2月23日之前已获得的科研成果在学生申请学位时由各培养单位学位评定委员会进行认定。</w:t>
      </w:r>
      <w:r w:rsidR="0099384D" w:rsidRPr="003A1B08">
        <w:rPr>
          <w:rFonts w:ascii="仿宋_GB2312" w:eastAsia="仿宋_GB2312" w:hAnsi="仿宋" w:hint="eastAsia"/>
          <w:bCs/>
          <w:sz w:val="30"/>
          <w:szCs w:val="30"/>
        </w:rPr>
        <w:t>见文件第八条。</w:t>
      </w:r>
    </w:p>
    <w:p w14:paraId="20B599BB" w14:textId="16A370E8" w:rsidR="00992737" w:rsidRPr="003A1B08" w:rsidRDefault="00992737" w:rsidP="005A1ED4">
      <w:pPr>
        <w:pStyle w:val="a3"/>
        <w:numPr>
          <w:ilvl w:val="0"/>
          <w:numId w:val="1"/>
        </w:numPr>
        <w:adjustRightInd w:val="0"/>
        <w:snapToGrid w:val="0"/>
        <w:spacing w:line="520" w:lineRule="exact"/>
        <w:ind w:left="0" w:firstLineChars="0" w:firstLine="640"/>
        <w:rPr>
          <w:rFonts w:ascii="仿宋_GB2312" w:eastAsia="仿宋_GB2312" w:hAnsi="仿宋"/>
          <w:bCs/>
          <w:sz w:val="30"/>
          <w:szCs w:val="30"/>
        </w:rPr>
      </w:pPr>
      <w:r w:rsidRPr="003A1B08">
        <w:rPr>
          <w:rFonts w:ascii="仿宋_GB2312" w:eastAsia="仿宋_GB2312" w:hAnsi="仿宋" w:hint="eastAsia"/>
          <w:b/>
          <w:bCs/>
          <w:color w:val="FF0000"/>
          <w:sz w:val="30"/>
          <w:szCs w:val="30"/>
          <w:u w:val="thick"/>
        </w:rPr>
        <w:t>学位申请人可以 “在规定的时间内”提出答辩申请；</w:t>
      </w:r>
      <w:r w:rsidR="00C62AE5">
        <w:rPr>
          <w:rFonts w:ascii="仿宋_GB2312" w:eastAsia="仿宋_GB2312" w:hAnsi="仿宋" w:hint="eastAsia"/>
          <w:b/>
          <w:bCs/>
          <w:color w:val="FF0000"/>
          <w:sz w:val="30"/>
          <w:szCs w:val="30"/>
          <w:u w:val="thick"/>
        </w:rPr>
        <w:t>正式</w:t>
      </w:r>
      <w:r w:rsidRPr="003A1B08">
        <w:rPr>
          <w:rFonts w:ascii="仿宋_GB2312" w:eastAsia="仿宋_GB2312" w:hAnsi="仿宋" w:hint="eastAsia"/>
          <w:b/>
          <w:bCs/>
          <w:color w:val="FF0000"/>
          <w:sz w:val="30"/>
          <w:szCs w:val="30"/>
          <w:u w:val="thick"/>
        </w:rPr>
        <w:t>录用函需导师签字认可。</w:t>
      </w:r>
      <w:r w:rsidRPr="003A1B08">
        <w:rPr>
          <w:rFonts w:ascii="仿宋_GB2312" w:eastAsia="仿宋_GB2312" w:hAnsi="仿宋" w:hint="eastAsia"/>
          <w:bCs/>
          <w:sz w:val="30"/>
          <w:szCs w:val="30"/>
        </w:rPr>
        <w:t>见文件第十三条和第十八条。</w:t>
      </w:r>
    </w:p>
    <w:p w14:paraId="31E92CF2" w14:textId="023FBF8E" w:rsidR="003B6ED1" w:rsidRPr="003A1B08" w:rsidRDefault="003B6ED1" w:rsidP="003B6ED1">
      <w:pPr>
        <w:pStyle w:val="a3"/>
        <w:numPr>
          <w:ilvl w:val="0"/>
          <w:numId w:val="1"/>
        </w:numPr>
        <w:adjustRightInd w:val="0"/>
        <w:snapToGrid w:val="0"/>
        <w:spacing w:line="520" w:lineRule="exact"/>
        <w:ind w:left="0" w:firstLineChars="0" w:firstLine="640"/>
        <w:rPr>
          <w:rFonts w:ascii="仿宋_GB2312" w:eastAsia="仿宋_GB2312" w:hAnsi="仿宋"/>
          <w:bCs/>
          <w:sz w:val="30"/>
          <w:szCs w:val="30"/>
        </w:rPr>
      </w:pPr>
      <w:r w:rsidRPr="003A1B08">
        <w:rPr>
          <w:rFonts w:ascii="仿宋_GB2312" w:eastAsia="仿宋_GB2312" w:hAnsi="仿宋" w:hint="eastAsia"/>
          <w:bCs/>
          <w:sz w:val="30"/>
          <w:szCs w:val="30"/>
        </w:rPr>
        <w:t>根据《普通高等学校学生管理规定》（教育部令第41号）等相关文件精神，细化了撤销学位的工作步骤</w:t>
      </w:r>
      <w:r w:rsidR="0020094F" w:rsidRPr="003A1B08">
        <w:rPr>
          <w:rFonts w:ascii="仿宋_GB2312" w:eastAsia="仿宋_GB2312" w:hAnsi="仿宋" w:hint="eastAsia"/>
          <w:bCs/>
          <w:sz w:val="30"/>
          <w:szCs w:val="30"/>
        </w:rPr>
        <w:t>，要求</w:t>
      </w:r>
      <w:r w:rsidR="0020094F" w:rsidRPr="003A1B08">
        <w:rPr>
          <w:rFonts w:ascii="仿宋_GB2312" w:eastAsia="仿宋_GB2312" w:hAnsi="仿宋" w:hint="eastAsia"/>
          <w:b/>
          <w:bCs/>
          <w:color w:val="FF0000"/>
          <w:sz w:val="30"/>
          <w:szCs w:val="30"/>
          <w:u w:val="thick"/>
        </w:rPr>
        <w:t>“</w:t>
      </w:r>
      <w:r w:rsidRPr="003A1B08">
        <w:rPr>
          <w:rFonts w:ascii="仿宋_GB2312" w:eastAsia="仿宋_GB2312" w:hAnsi="仿宋" w:hint="eastAsia"/>
          <w:b/>
          <w:bCs/>
          <w:color w:val="FF0000"/>
          <w:sz w:val="30"/>
          <w:szCs w:val="30"/>
          <w:u w:val="thick"/>
        </w:rPr>
        <w:t>在做出撤销学位的决定之前，当事人应被告知可能出现的处理结果，并享有陈述和申辩的权利。撤销学位决定的文件应当由当事人所在培</w:t>
      </w:r>
      <w:r w:rsidRPr="003A1B08">
        <w:rPr>
          <w:rFonts w:ascii="仿宋_GB2312" w:eastAsia="仿宋_GB2312" w:hAnsi="仿宋" w:hint="eastAsia"/>
          <w:b/>
          <w:bCs/>
          <w:color w:val="FF0000"/>
          <w:sz w:val="30"/>
          <w:szCs w:val="30"/>
          <w:u w:val="thick"/>
        </w:rPr>
        <w:lastRenderedPageBreak/>
        <w:t>养单位直接送达当事人，由本人签收。拒绝签收或因特殊情况不能签收的、已离校的，可以采取邮寄、邮件方式送达，或通过学校网站、新闻媒体等以公告方式送达。</w:t>
      </w:r>
      <w:r w:rsidR="0020094F" w:rsidRPr="003A1B08">
        <w:rPr>
          <w:rFonts w:ascii="仿宋_GB2312" w:eastAsia="仿宋_GB2312" w:hAnsi="仿宋" w:hint="eastAsia"/>
          <w:b/>
          <w:bCs/>
          <w:color w:val="FF0000"/>
          <w:sz w:val="30"/>
          <w:szCs w:val="30"/>
          <w:u w:val="thick"/>
        </w:rPr>
        <w:t>”</w:t>
      </w:r>
      <w:r w:rsidR="0099384D" w:rsidRPr="003A1B08">
        <w:rPr>
          <w:rFonts w:ascii="仿宋_GB2312" w:eastAsia="仿宋_GB2312" w:hAnsi="仿宋" w:hint="eastAsia"/>
          <w:bCs/>
          <w:sz w:val="30"/>
          <w:szCs w:val="30"/>
        </w:rPr>
        <w:t>见文件第三十四条。</w:t>
      </w:r>
    </w:p>
    <w:p w14:paraId="395D00E6" w14:textId="77777777" w:rsidR="003E370A" w:rsidRPr="003A1B08" w:rsidRDefault="003E370A" w:rsidP="003E370A">
      <w:pPr>
        <w:pStyle w:val="a3"/>
        <w:numPr>
          <w:ilvl w:val="0"/>
          <w:numId w:val="1"/>
        </w:numPr>
        <w:adjustRightInd w:val="0"/>
        <w:snapToGrid w:val="0"/>
        <w:spacing w:line="520" w:lineRule="exact"/>
        <w:ind w:left="0" w:firstLineChars="0" w:firstLine="640"/>
        <w:rPr>
          <w:rFonts w:ascii="仿宋_GB2312" w:eastAsia="仿宋_GB2312" w:hAnsi="仿宋"/>
          <w:bCs/>
          <w:sz w:val="30"/>
          <w:szCs w:val="30"/>
        </w:rPr>
      </w:pPr>
      <w:r w:rsidRPr="003A1B08">
        <w:rPr>
          <w:rFonts w:ascii="仿宋_GB2312" w:eastAsia="仿宋_GB2312" w:hAnsi="仿宋" w:hint="eastAsia"/>
          <w:bCs/>
          <w:sz w:val="30"/>
          <w:szCs w:val="30"/>
        </w:rPr>
        <w:t>对答辩委员会秘书的要求改为“具有研究生学历的相关人员或在学高年级研究生担任”。见文件第二十一条。</w:t>
      </w:r>
    </w:p>
    <w:p w14:paraId="0486905D" w14:textId="62AE0394" w:rsidR="003E370A" w:rsidRPr="003A1B08" w:rsidRDefault="003E370A" w:rsidP="003E370A">
      <w:pPr>
        <w:pStyle w:val="a3"/>
        <w:numPr>
          <w:ilvl w:val="0"/>
          <w:numId w:val="1"/>
        </w:numPr>
        <w:adjustRightInd w:val="0"/>
        <w:snapToGrid w:val="0"/>
        <w:spacing w:line="520" w:lineRule="exact"/>
        <w:ind w:left="0" w:firstLineChars="0" w:firstLine="640"/>
        <w:rPr>
          <w:rFonts w:ascii="仿宋_GB2312" w:eastAsia="仿宋_GB2312" w:hAnsi="仿宋"/>
          <w:bCs/>
          <w:sz w:val="30"/>
          <w:szCs w:val="30"/>
        </w:rPr>
      </w:pPr>
      <w:r w:rsidRPr="003A1B08">
        <w:rPr>
          <w:rFonts w:ascii="仿宋_GB2312" w:eastAsia="仿宋_GB2312" w:hAnsi="仿宋" w:hint="eastAsia"/>
          <w:bCs/>
          <w:sz w:val="30"/>
          <w:szCs w:val="30"/>
        </w:rPr>
        <w:t>对博士外国语的要求改为“应至少掌握一门外国语”。见文件第十七条。</w:t>
      </w:r>
    </w:p>
    <w:p w14:paraId="596E1E53" w14:textId="16074766" w:rsidR="003B6ED1" w:rsidRPr="003A1B08" w:rsidRDefault="003B6ED1" w:rsidP="003B6ED1">
      <w:pPr>
        <w:pStyle w:val="a3"/>
        <w:numPr>
          <w:ilvl w:val="0"/>
          <w:numId w:val="1"/>
        </w:numPr>
        <w:adjustRightInd w:val="0"/>
        <w:snapToGrid w:val="0"/>
        <w:spacing w:line="520" w:lineRule="exact"/>
        <w:ind w:left="0" w:firstLineChars="0" w:firstLine="709"/>
        <w:rPr>
          <w:rFonts w:ascii="仿宋_GB2312" w:eastAsia="仿宋_GB2312" w:hAnsi="仿宋"/>
          <w:bCs/>
          <w:sz w:val="30"/>
          <w:szCs w:val="30"/>
        </w:rPr>
      </w:pPr>
      <w:r w:rsidRPr="003A1B08">
        <w:rPr>
          <w:rFonts w:ascii="仿宋_GB2312" w:eastAsia="仿宋_GB2312" w:hAnsi="仿宋" w:hint="eastAsia"/>
          <w:bCs/>
          <w:sz w:val="30"/>
          <w:szCs w:val="30"/>
        </w:rPr>
        <w:t>加入</w:t>
      </w:r>
      <w:r w:rsidR="0020094F" w:rsidRPr="003A1B08">
        <w:rPr>
          <w:rFonts w:ascii="仿宋_GB2312" w:eastAsia="仿宋_GB2312" w:hAnsi="仿宋" w:hint="eastAsia"/>
          <w:bCs/>
          <w:sz w:val="30"/>
          <w:szCs w:val="30"/>
        </w:rPr>
        <w:t>“</w:t>
      </w:r>
      <w:r w:rsidRPr="003A1B08">
        <w:rPr>
          <w:rFonts w:ascii="仿宋_GB2312" w:eastAsia="仿宋_GB2312" w:hAnsi="仿宋" w:hint="eastAsia"/>
          <w:bCs/>
          <w:sz w:val="30"/>
          <w:szCs w:val="30"/>
        </w:rPr>
        <w:t>在我校学习的外国留学生及港澳台人员申请学位，参照本细则执行。</w:t>
      </w:r>
      <w:r w:rsidR="0020094F" w:rsidRPr="003A1B08">
        <w:rPr>
          <w:rFonts w:ascii="仿宋_GB2312" w:eastAsia="仿宋_GB2312" w:hAnsi="仿宋" w:hint="eastAsia"/>
          <w:bCs/>
          <w:sz w:val="30"/>
          <w:szCs w:val="30"/>
        </w:rPr>
        <w:t>”</w:t>
      </w:r>
      <w:r w:rsidR="0099384D" w:rsidRPr="003A1B08">
        <w:rPr>
          <w:rFonts w:ascii="仿宋_GB2312" w:eastAsia="仿宋_GB2312" w:hAnsi="仿宋" w:hint="eastAsia"/>
          <w:bCs/>
          <w:sz w:val="30"/>
          <w:szCs w:val="30"/>
        </w:rPr>
        <w:t>见文件第三十七条。</w:t>
      </w:r>
    </w:p>
    <w:p w14:paraId="408F645E" w14:textId="45D2B16F" w:rsidR="00A46DA7" w:rsidRPr="003A1B08" w:rsidRDefault="00A46DA7" w:rsidP="00A46DA7">
      <w:pPr>
        <w:pStyle w:val="a3"/>
        <w:numPr>
          <w:ilvl w:val="0"/>
          <w:numId w:val="1"/>
        </w:numPr>
        <w:adjustRightInd w:val="0"/>
        <w:snapToGrid w:val="0"/>
        <w:spacing w:line="520" w:lineRule="exact"/>
        <w:ind w:left="0" w:firstLineChars="0" w:firstLine="709"/>
        <w:rPr>
          <w:rFonts w:ascii="仿宋_GB2312" w:eastAsia="仿宋_GB2312" w:hAnsi="仿宋"/>
          <w:bCs/>
          <w:sz w:val="30"/>
          <w:szCs w:val="30"/>
        </w:rPr>
      </w:pPr>
      <w:r w:rsidRPr="003A1B08">
        <w:rPr>
          <w:rFonts w:ascii="仿宋_GB2312" w:eastAsia="仿宋_GB2312" w:hAnsi="仿宋" w:hint="eastAsia"/>
          <w:bCs/>
          <w:sz w:val="30"/>
          <w:szCs w:val="30"/>
        </w:rPr>
        <w:t>将《中国科学院大学学士学位授予工作管理办法（暂行）》内容纳入到文件中，形成了学士、硕士、博士三级学位授予审核统一管理的完整文件体系</w:t>
      </w:r>
      <w:r w:rsidR="003B6ED1" w:rsidRPr="003A1B08">
        <w:rPr>
          <w:rFonts w:ascii="仿宋_GB2312" w:eastAsia="仿宋_GB2312" w:hAnsi="仿宋" w:hint="eastAsia"/>
          <w:bCs/>
          <w:sz w:val="30"/>
          <w:szCs w:val="30"/>
        </w:rPr>
        <w:t>。</w:t>
      </w:r>
    </w:p>
    <w:p w14:paraId="2506057A" w14:textId="6D84D981" w:rsidR="00A46DA7" w:rsidRPr="003A1B08" w:rsidRDefault="003B6ED1" w:rsidP="00A46DA7">
      <w:pPr>
        <w:pStyle w:val="a3"/>
        <w:numPr>
          <w:ilvl w:val="0"/>
          <w:numId w:val="1"/>
        </w:numPr>
        <w:adjustRightInd w:val="0"/>
        <w:snapToGrid w:val="0"/>
        <w:spacing w:line="520" w:lineRule="exact"/>
        <w:ind w:left="0" w:firstLineChars="0" w:firstLine="709"/>
        <w:rPr>
          <w:rFonts w:ascii="仿宋_GB2312" w:eastAsia="仿宋_GB2312" w:hAnsi="仿宋"/>
          <w:bCs/>
          <w:sz w:val="30"/>
          <w:szCs w:val="30"/>
        </w:rPr>
      </w:pPr>
      <w:r w:rsidRPr="003A1B08">
        <w:rPr>
          <w:rFonts w:ascii="仿宋_GB2312" w:eastAsia="仿宋_GB2312" w:hAnsi="仿宋" w:hint="eastAsia"/>
          <w:bCs/>
          <w:sz w:val="30"/>
          <w:szCs w:val="30"/>
        </w:rPr>
        <w:t>删除</w:t>
      </w:r>
      <w:r w:rsidR="00A46DA7" w:rsidRPr="003A1B08">
        <w:rPr>
          <w:rFonts w:ascii="仿宋_GB2312" w:eastAsia="仿宋_GB2312" w:hAnsi="仿宋" w:hint="eastAsia"/>
          <w:bCs/>
          <w:sz w:val="30"/>
          <w:szCs w:val="30"/>
        </w:rPr>
        <w:t>了与培养方案</w:t>
      </w:r>
      <w:r w:rsidRPr="003A1B08">
        <w:rPr>
          <w:rFonts w:ascii="仿宋_GB2312" w:eastAsia="仿宋_GB2312" w:hAnsi="仿宋" w:hint="eastAsia"/>
          <w:bCs/>
          <w:sz w:val="30"/>
          <w:szCs w:val="30"/>
        </w:rPr>
        <w:t>重合</w:t>
      </w:r>
      <w:r w:rsidR="00A46DA7" w:rsidRPr="003A1B08">
        <w:rPr>
          <w:rFonts w:ascii="仿宋_GB2312" w:eastAsia="仿宋_GB2312" w:hAnsi="仿宋" w:hint="eastAsia"/>
          <w:bCs/>
          <w:sz w:val="30"/>
          <w:szCs w:val="30"/>
        </w:rPr>
        <w:t>的学分要求</w:t>
      </w:r>
      <w:r w:rsidR="003A1B08" w:rsidRPr="003A1B08">
        <w:rPr>
          <w:rFonts w:ascii="仿宋_GB2312" w:eastAsia="仿宋_GB2312" w:hAnsi="仿宋" w:hint="eastAsia"/>
          <w:bCs/>
          <w:sz w:val="30"/>
          <w:szCs w:val="30"/>
        </w:rPr>
        <w:t>。</w:t>
      </w:r>
    </w:p>
    <w:p w14:paraId="13DB0E7D" w14:textId="77777777" w:rsidR="003A1B08" w:rsidRPr="003A1B08" w:rsidRDefault="003A1B08" w:rsidP="003A1B08">
      <w:pPr>
        <w:pStyle w:val="a3"/>
        <w:adjustRightInd w:val="0"/>
        <w:snapToGrid w:val="0"/>
        <w:spacing w:line="520" w:lineRule="exact"/>
        <w:ind w:left="709" w:firstLineChars="0" w:firstLine="0"/>
        <w:rPr>
          <w:rFonts w:ascii="仿宋_GB2312" w:eastAsia="仿宋_GB2312" w:hAnsi="仿宋"/>
          <w:bCs/>
          <w:sz w:val="30"/>
          <w:szCs w:val="30"/>
        </w:rPr>
      </w:pPr>
      <w:bookmarkStart w:id="0" w:name="_GoBack"/>
      <w:bookmarkEnd w:id="0"/>
    </w:p>
    <w:sectPr w:rsidR="003A1B08" w:rsidRPr="003A1B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84AC18" w14:textId="77777777" w:rsidR="00246D3E" w:rsidRDefault="00246D3E" w:rsidP="00C7436A">
      <w:r>
        <w:separator/>
      </w:r>
    </w:p>
  </w:endnote>
  <w:endnote w:type="continuationSeparator" w:id="0">
    <w:p w14:paraId="3CDD8B34" w14:textId="77777777" w:rsidR="00246D3E" w:rsidRDefault="00246D3E" w:rsidP="00C74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等线">
    <w:altName w:val="Arial Unicode MS"/>
    <w:charset w:val="86"/>
    <w:family w:val="auto"/>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B989F1" w14:textId="77777777" w:rsidR="00246D3E" w:rsidRDefault="00246D3E" w:rsidP="00C7436A">
      <w:r>
        <w:separator/>
      </w:r>
    </w:p>
  </w:footnote>
  <w:footnote w:type="continuationSeparator" w:id="0">
    <w:p w14:paraId="69C32C9F" w14:textId="77777777" w:rsidR="00246D3E" w:rsidRDefault="00246D3E" w:rsidP="00C743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980DF3"/>
    <w:multiLevelType w:val="hybridMultilevel"/>
    <w:tmpl w:val="929A8E82"/>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533012F2"/>
    <w:multiLevelType w:val="hybridMultilevel"/>
    <w:tmpl w:val="0EFC568A"/>
    <w:lvl w:ilvl="0" w:tplc="03948738">
      <w:start w:val="1"/>
      <w:numFmt w:val="decimal"/>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51C6804"/>
    <w:multiLevelType w:val="hybridMultilevel"/>
    <w:tmpl w:val="82CEBB46"/>
    <w:lvl w:ilvl="0" w:tplc="52B201AA">
      <w:start w:val="1"/>
      <w:numFmt w:val="decimal"/>
      <w:lvlText w:val="%1."/>
      <w:lvlJc w:val="left"/>
      <w:pPr>
        <w:ind w:left="1129" w:hanging="420"/>
      </w:pPr>
      <w:rPr>
        <w:rFonts w:eastAsia="仿宋_GB2312" w:hint="eastAsia"/>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3">
    <w:nsid w:val="63CB2F47"/>
    <w:multiLevelType w:val="hybridMultilevel"/>
    <w:tmpl w:val="C5025B38"/>
    <w:lvl w:ilvl="0" w:tplc="641046BA">
      <w:start w:val="1"/>
      <w:numFmt w:val="decimal"/>
      <w:lvlText w:val="%1."/>
      <w:lvlJc w:val="left"/>
      <w:pPr>
        <w:ind w:left="10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CD44FF9"/>
    <w:multiLevelType w:val="hybridMultilevel"/>
    <w:tmpl w:val="507E7800"/>
    <w:lvl w:ilvl="0" w:tplc="9A66CE84">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F446319"/>
    <w:multiLevelType w:val="hybridMultilevel"/>
    <w:tmpl w:val="55AAD9D6"/>
    <w:lvl w:ilvl="0" w:tplc="323A5DBE">
      <w:start w:val="1"/>
      <w:numFmt w:val="decimal"/>
      <w:lvlText w:val="%1."/>
      <w:lvlJc w:val="left"/>
      <w:pPr>
        <w:ind w:left="1069" w:hanging="36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num w:numId="1">
    <w:abstractNumId w:val="0"/>
  </w:num>
  <w:num w:numId="2">
    <w:abstractNumId w:val="1"/>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DA7"/>
    <w:rsid w:val="00074F46"/>
    <w:rsid w:val="000D6827"/>
    <w:rsid w:val="0013587F"/>
    <w:rsid w:val="00177641"/>
    <w:rsid w:val="00186FE1"/>
    <w:rsid w:val="001C5F16"/>
    <w:rsid w:val="001D4536"/>
    <w:rsid w:val="001D5AB8"/>
    <w:rsid w:val="001E05E3"/>
    <w:rsid w:val="001E2E3C"/>
    <w:rsid w:val="002005F8"/>
    <w:rsid w:val="0020094F"/>
    <w:rsid w:val="00201148"/>
    <w:rsid w:val="002046E8"/>
    <w:rsid w:val="0022566D"/>
    <w:rsid w:val="00246D3E"/>
    <w:rsid w:val="00294355"/>
    <w:rsid w:val="002D40CA"/>
    <w:rsid w:val="003137AE"/>
    <w:rsid w:val="003748B0"/>
    <w:rsid w:val="003A1B08"/>
    <w:rsid w:val="003B6ED1"/>
    <w:rsid w:val="003E370A"/>
    <w:rsid w:val="003E5B9F"/>
    <w:rsid w:val="0042540D"/>
    <w:rsid w:val="00446396"/>
    <w:rsid w:val="0046484E"/>
    <w:rsid w:val="0047708B"/>
    <w:rsid w:val="0050245B"/>
    <w:rsid w:val="005273F1"/>
    <w:rsid w:val="00530574"/>
    <w:rsid w:val="00566EE9"/>
    <w:rsid w:val="005B612C"/>
    <w:rsid w:val="006403A3"/>
    <w:rsid w:val="0064105E"/>
    <w:rsid w:val="00643CA1"/>
    <w:rsid w:val="006653B5"/>
    <w:rsid w:val="006863A7"/>
    <w:rsid w:val="006C4DDF"/>
    <w:rsid w:val="006F4405"/>
    <w:rsid w:val="007112C9"/>
    <w:rsid w:val="00720E55"/>
    <w:rsid w:val="007B24E6"/>
    <w:rsid w:val="00812804"/>
    <w:rsid w:val="00864662"/>
    <w:rsid w:val="00885FE8"/>
    <w:rsid w:val="008B2BB9"/>
    <w:rsid w:val="008D5A33"/>
    <w:rsid w:val="00935C4D"/>
    <w:rsid w:val="00943A40"/>
    <w:rsid w:val="00967119"/>
    <w:rsid w:val="00987D4D"/>
    <w:rsid w:val="00992737"/>
    <w:rsid w:val="0099384D"/>
    <w:rsid w:val="00A1220C"/>
    <w:rsid w:val="00A36459"/>
    <w:rsid w:val="00A45505"/>
    <w:rsid w:val="00A46DA7"/>
    <w:rsid w:val="00A669C2"/>
    <w:rsid w:val="00A802A2"/>
    <w:rsid w:val="00A912A2"/>
    <w:rsid w:val="00AB3E90"/>
    <w:rsid w:val="00AE7E63"/>
    <w:rsid w:val="00B319E9"/>
    <w:rsid w:val="00B4620A"/>
    <w:rsid w:val="00B523A9"/>
    <w:rsid w:val="00B564E8"/>
    <w:rsid w:val="00BD1A4E"/>
    <w:rsid w:val="00BF3625"/>
    <w:rsid w:val="00C419F3"/>
    <w:rsid w:val="00C4243F"/>
    <w:rsid w:val="00C4734E"/>
    <w:rsid w:val="00C62AE5"/>
    <w:rsid w:val="00C7436A"/>
    <w:rsid w:val="00D42676"/>
    <w:rsid w:val="00DC2672"/>
    <w:rsid w:val="00DE224D"/>
    <w:rsid w:val="00E148DC"/>
    <w:rsid w:val="00E4709D"/>
    <w:rsid w:val="00EB636A"/>
    <w:rsid w:val="00EB66BA"/>
    <w:rsid w:val="00EC0A66"/>
    <w:rsid w:val="00ED2C9C"/>
    <w:rsid w:val="00F00C8D"/>
    <w:rsid w:val="00F0757B"/>
    <w:rsid w:val="00F353F6"/>
    <w:rsid w:val="00F54B2D"/>
    <w:rsid w:val="00FE44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CBE619"/>
  <w15:chartTrackingRefBased/>
  <w15:docId w15:val="{CF6A42A0-2E11-4390-B94E-9CDEE9E42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6DA7"/>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tle21">
    <w:name w:val="title21"/>
    <w:qFormat/>
    <w:rsid w:val="00A46DA7"/>
    <w:rPr>
      <w:rFonts w:ascii="楷体_GB2312" w:eastAsia="楷体_GB2312" w:cs="楷体_GB2312"/>
      <w:color w:val="FF0000"/>
      <w:sz w:val="30"/>
      <w:szCs w:val="30"/>
      <w:u w:val="none"/>
    </w:rPr>
  </w:style>
  <w:style w:type="paragraph" w:styleId="a3">
    <w:name w:val="List Paragraph"/>
    <w:basedOn w:val="a"/>
    <w:uiPriority w:val="99"/>
    <w:qFormat/>
    <w:rsid w:val="00A46DA7"/>
    <w:pPr>
      <w:ind w:firstLineChars="200" w:firstLine="420"/>
    </w:pPr>
  </w:style>
  <w:style w:type="paragraph" w:styleId="a4">
    <w:name w:val="header"/>
    <w:basedOn w:val="a"/>
    <w:link w:val="Char"/>
    <w:uiPriority w:val="99"/>
    <w:unhideWhenUsed/>
    <w:rsid w:val="00C7436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C7436A"/>
    <w:rPr>
      <w:rFonts w:ascii="Calibri" w:eastAsia="宋体" w:hAnsi="Calibri" w:cs="Calibri"/>
      <w:sz w:val="18"/>
      <w:szCs w:val="18"/>
    </w:rPr>
  </w:style>
  <w:style w:type="paragraph" w:styleId="a5">
    <w:name w:val="footer"/>
    <w:basedOn w:val="a"/>
    <w:link w:val="Char0"/>
    <w:uiPriority w:val="99"/>
    <w:unhideWhenUsed/>
    <w:rsid w:val="00C7436A"/>
    <w:pPr>
      <w:tabs>
        <w:tab w:val="center" w:pos="4153"/>
        <w:tab w:val="right" w:pos="8306"/>
      </w:tabs>
      <w:snapToGrid w:val="0"/>
      <w:jc w:val="left"/>
    </w:pPr>
    <w:rPr>
      <w:sz w:val="18"/>
      <w:szCs w:val="18"/>
    </w:rPr>
  </w:style>
  <w:style w:type="character" w:customStyle="1" w:styleId="Char0">
    <w:name w:val="页脚 Char"/>
    <w:basedOn w:val="a0"/>
    <w:link w:val="a5"/>
    <w:uiPriority w:val="99"/>
    <w:rsid w:val="00C7436A"/>
    <w:rPr>
      <w:rFonts w:ascii="Calibri" w:eastAsia="宋体"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412</TotalTime>
  <Pages>2</Pages>
  <Words>130</Words>
  <Characters>743</Characters>
  <Application>Microsoft Office Word</Application>
  <DocSecurity>0</DocSecurity>
  <Lines>6</Lines>
  <Paragraphs>1</Paragraphs>
  <ScaleCrop>false</ScaleCrop>
  <Company/>
  <LinksUpToDate>false</LinksUpToDate>
  <CharactersWithSpaces>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geng</dc:creator>
  <cp:keywords/>
  <dc:description/>
  <cp:lastModifiedBy>NTKO</cp:lastModifiedBy>
  <cp:revision>71</cp:revision>
  <dcterms:created xsi:type="dcterms:W3CDTF">2022-06-16T02:18:00Z</dcterms:created>
  <dcterms:modified xsi:type="dcterms:W3CDTF">2022-09-09T08:27:00Z</dcterms:modified>
</cp:coreProperties>
</file>